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color w:val="545b89"/>
          <w:highlight w:val="white"/>
        </w:rPr>
      </w:pPr>
      <w:r w:rsidDel="00000000" w:rsidR="00000000" w:rsidRPr="00000000">
        <w:rPr>
          <w:rtl w:val="0"/>
        </w:rPr>
      </w:r>
    </w:p>
    <w:p w:rsidR="00000000" w:rsidDel="00000000" w:rsidP="00000000" w:rsidRDefault="00000000" w:rsidRPr="00000000">
      <w:pPr>
        <w:pStyle w:val="Heading1"/>
        <w:keepNext w:val="0"/>
        <w:keepLines w:val="0"/>
        <w:pBdr>
          <w:top w:color="auto" w:space="0" w:sz="2" w:val="single"/>
          <w:left w:color="auto" w:space="0" w:sz="2" w:val="single"/>
          <w:bottom w:color="auto" w:space="0" w:sz="2" w:val="single"/>
          <w:right w:color="auto" w:space="0" w:sz="2" w:val="single"/>
          <w:between w:color="auto" w:space="0" w:sz="2" w:val="single"/>
        </w:pBdr>
        <w:spacing w:before="0" w:lineRule="auto"/>
        <w:ind w:left="-30.000000000000213" w:firstLine="0"/>
        <w:contextualSpacing w:val="0"/>
        <w:jc w:val="center"/>
        <w:rPr>
          <w:b w:val="1"/>
          <w:color w:val="76a5af"/>
          <w:sz w:val="36"/>
          <w:szCs w:val="36"/>
          <w:highlight w:val="white"/>
        </w:rPr>
      </w:pPr>
      <w:bookmarkStart w:colFirst="0" w:colLast="0" w:name="_md9xb548bp6d" w:id="0"/>
      <w:bookmarkEnd w:id="0"/>
      <w:r w:rsidDel="00000000" w:rsidR="00000000" w:rsidRPr="00000000">
        <w:rPr>
          <w:b w:val="1"/>
          <w:color w:val="76a5af"/>
          <w:sz w:val="36"/>
          <w:szCs w:val="36"/>
          <w:highlight w:val="white"/>
          <w:rtl w:val="0"/>
        </w:rPr>
        <w:t xml:space="preserve">Fertigkeiten der Kompetenzniveaus</w:t>
      </w:r>
    </w:p>
    <w:p w:rsidR="00000000" w:rsidDel="00000000" w:rsidP="00000000" w:rsidRDefault="00000000" w:rsidRPr="00000000">
      <w:pPr>
        <w:pStyle w:val="Heading1"/>
        <w:keepNext w:val="0"/>
        <w:keepLines w:val="0"/>
        <w:pBdr>
          <w:top w:color="auto" w:space="0" w:sz="2" w:val="single"/>
          <w:left w:color="auto" w:space="0" w:sz="2" w:val="single"/>
          <w:bottom w:color="auto" w:space="0" w:sz="2" w:val="single"/>
          <w:right w:color="auto" w:space="0" w:sz="2" w:val="single"/>
          <w:between w:color="auto" w:space="0" w:sz="2" w:val="single"/>
        </w:pBdr>
        <w:spacing w:before="0" w:lineRule="auto"/>
        <w:ind w:left="-30.000000000000213" w:firstLine="0"/>
        <w:contextualSpacing w:val="0"/>
        <w:jc w:val="center"/>
        <w:rPr>
          <w:b w:val="1"/>
          <w:color w:val="76a5af"/>
          <w:sz w:val="22"/>
          <w:szCs w:val="22"/>
          <w:highlight w:val="white"/>
        </w:rPr>
      </w:pPr>
      <w:bookmarkStart w:colFirst="0" w:colLast="0" w:name="_ygl490oxorhm" w:id="1"/>
      <w:bookmarkEnd w:id="1"/>
      <w:r w:rsidDel="00000000" w:rsidR="00000000" w:rsidRPr="00000000">
        <w:rPr>
          <w:b w:val="1"/>
          <w:color w:val="76a5af"/>
          <w:sz w:val="28"/>
          <w:szCs w:val="28"/>
          <w:highlight w:val="white"/>
          <w:rtl w:val="0"/>
        </w:rPr>
        <w:t xml:space="preserve"> </w:t>
      </w:r>
      <w:r w:rsidDel="00000000" w:rsidR="00000000" w:rsidRPr="00000000">
        <w:rPr>
          <w:b w:val="1"/>
          <w:color w:val="76a5af"/>
          <w:sz w:val="22"/>
          <w:szCs w:val="22"/>
          <w:highlight w:val="white"/>
          <w:rtl w:val="0"/>
        </w:rPr>
        <w:t xml:space="preserve">nach dem Gemeinsamen Europäischen Referenzrahmen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40" w:before="100" w:lineRule="auto"/>
        <w:contextualSpacing w:val="0"/>
        <w:rPr>
          <w:b w:val="1"/>
          <w:color w:val="45818e"/>
          <w:sz w:val="26"/>
          <w:szCs w:val="26"/>
        </w:rPr>
      </w:pPr>
      <w:bookmarkStart w:colFirst="0" w:colLast="0" w:name="_16u89fvqhzgk" w:id="2"/>
      <w:bookmarkEnd w:id="2"/>
      <w:r w:rsidDel="00000000" w:rsidR="00000000" w:rsidRPr="00000000">
        <w:rPr>
          <w:b w:val="1"/>
          <w:color w:val="45818e"/>
          <w:sz w:val="26"/>
          <w:szCs w:val="26"/>
          <w:rtl w:val="0"/>
        </w:rPr>
        <w:t xml:space="preserve">A1 – Anfänger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160" w:lineRule="auto"/>
        <w:ind w:left="160" w:firstLine="0"/>
        <w:contextualSpacing w:val="0"/>
        <w:jc w:val="both"/>
        <w:rPr>
          <w:sz w:val="18"/>
          <w:szCs w:val="18"/>
        </w:rPr>
      </w:pPr>
      <w:r w:rsidDel="00000000" w:rsidR="00000000" w:rsidRPr="00000000">
        <w:rPr>
          <w:sz w:val="18"/>
          <w:szCs w:val="18"/>
          <w:rtl w:val="0"/>
        </w:rPr>
        <w:t xml:space="preserve">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40" w:before="100" w:lineRule="auto"/>
        <w:contextualSpacing w:val="0"/>
        <w:rPr>
          <w:b w:val="1"/>
          <w:color w:val="45818e"/>
          <w:sz w:val="26"/>
          <w:szCs w:val="26"/>
        </w:rPr>
      </w:pPr>
      <w:bookmarkStart w:colFirst="0" w:colLast="0" w:name="_2n5fr5fx2gkc" w:id="3"/>
      <w:bookmarkEnd w:id="3"/>
      <w:r w:rsidDel="00000000" w:rsidR="00000000" w:rsidRPr="00000000">
        <w:rPr>
          <w:b w:val="1"/>
          <w:color w:val="45818e"/>
          <w:sz w:val="26"/>
          <w:szCs w:val="26"/>
          <w:rtl w:val="0"/>
        </w:rPr>
        <w:t xml:space="preserve">A2 – Grundlegende Kenntnisse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160" w:lineRule="auto"/>
        <w:ind w:left="160" w:firstLine="0"/>
        <w:contextualSpacing w:val="0"/>
        <w:jc w:val="both"/>
        <w:rPr>
          <w:sz w:val="18"/>
          <w:szCs w:val="18"/>
        </w:rPr>
      </w:pPr>
      <w:r w:rsidDel="00000000" w:rsidR="00000000" w:rsidRPr="00000000">
        <w:rPr>
          <w:sz w:val="18"/>
          <w:szCs w:val="18"/>
          <w:rtl w:val="0"/>
        </w:rPr>
        <w:t xml:space="preserve">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40" w:before="100" w:lineRule="auto"/>
        <w:contextualSpacing w:val="0"/>
        <w:rPr>
          <w:b w:val="1"/>
          <w:color w:val="45818e"/>
          <w:sz w:val="26"/>
          <w:szCs w:val="26"/>
        </w:rPr>
      </w:pPr>
      <w:bookmarkStart w:colFirst="0" w:colLast="0" w:name="_fmfnjgu7blmo" w:id="4"/>
      <w:bookmarkEnd w:id="4"/>
      <w:r w:rsidDel="00000000" w:rsidR="00000000" w:rsidRPr="00000000">
        <w:rPr>
          <w:b w:val="1"/>
          <w:color w:val="45818e"/>
          <w:sz w:val="26"/>
          <w:szCs w:val="26"/>
          <w:rtl w:val="0"/>
        </w:rPr>
        <w:t xml:space="preserve">B1 – Fortgeschrittene Sprachverwendung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160" w:lineRule="auto"/>
        <w:ind w:left="160" w:firstLine="0"/>
        <w:contextualSpacing w:val="0"/>
        <w:jc w:val="both"/>
        <w:rPr>
          <w:sz w:val="18"/>
          <w:szCs w:val="18"/>
        </w:rPr>
      </w:pPr>
      <w:r w:rsidDel="00000000" w:rsidR="00000000" w:rsidRPr="00000000">
        <w:rPr>
          <w:sz w:val="18"/>
          <w:szCs w:val="18"/>
          <w:rtl w:val="0"/>
        </w:rPr>
        <w:t xml:space="preserve">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40" w:before="100" w:lineRule="auto"/>
        <w:contextualSpacing w:val="0"/>
        <w:rPr>
          <w:b w:val="1"/>
          <w:color w:val="45818e"/>
          <w:sz w:val="26"/>
          <w:szCs w:val="26"/>
        </w:rPr>
      </w:pPr>
      <w:bookmarkStart w:colFirst="0" w:colLast="0" w:name="_qk6ii3n3jbk0" w:id="5"/>
      <w:bookmarkEnd w:id="5"/>
      <w:r w:rsidDel="00000000" w:rsidR="00000000" w:rsidRPr="00000000">
        <w:rPr>
          <w:b w:val="1"/>
          <w:color w:val="45818e"/>
          <w:sz w:val="26"/>
          <w:szCs w:val="26"/>
          <w:rtl w:val="0"/>
        </w:rPr>
        <w:t xml:space="preserve">B2 – Selbständige Sprachverwendung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160" w:lineRule="auto"/>
        <w:ind w:left="160" w:firstLine="0"/>
        <w:contextualSpacing w:val="0"/>
        <w:jc w:val="both"/>
        <w:rPr>
          <w:sz w:val="18"/>
          <w:szCs w:val="18"/>
        </w:rPr>
      </w:pPr>
      <w:r w:rsidDel="00000000" w:rsidR="00000000" w:rsidRPr="00000000">
        <w:rPr>
          <w:sz w:val="18"/>
          <w:szCs w:val="18"/>
          <w:rtl w:val="0"/>
        </w:rPr>
        <w:t xml:space="preserve">Kann die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40" w:before="100" w:lineRule="auto"/>
        <w:contextualSpacing w:val="0"/>
        <w:rPr>
          <w:b w:val="1"/>
          <w:color w:val="45818e"/>
          <w:sz w:val="26"/>
          <w:szCs w:val="26"/>
        </w:rPr>
      </w:pPr>
      <w:bookmarkStart w:colFirst="0" w:colLast="0" w:name="_ejailzp815fg" w:id="6"/>
      <w:bookmarkEnd w:id="6"/>
      <w:r w:rsidDel="00000000" w:rsidR="00000000" w:rsidRPr="00000000">
        <w:rPr>
          <w:b w:val="1"/>
          <w:color w:val="45818e"/>
          <w:sz w:val="26"/>
          <w:szCs w:val="26"/>
          <w:rtl w:val="0"/>
        </w:rPr>
        <w:t xml:space="preserve">C1 – Fachkundige Sprachkenntnisse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160" w:lineRule="auto"/>
        <w:ind w:left="160" w:firstLine="0"/>
        <w:contextualSpacing w:val="0"/>
        <w:jc w:val="both"/>
        <w:rPr>
          <w:sz w:val="18"/>
          <w:szCs w:val="18"/>
        </w:rPr>
      </w:pPr>
      <w:r w:rsidDel="00000000" w:rsidR="00000000" w:rsidRPr="00000000">
        <w:rPr>
          <w:sz w:val="18"/>
          <w:szCs w:val="18"/>
          <w:rtl w:val="0"/>
        </w:rPr>
        <w:t xml:space="preserve">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40" w:before="100" w:lineRule="auto"/>
        <w:contextualSpacing w:val="0"/>
        <w:rPr>
          <w:b w:val="1"/>
          <w:color w:val="45818e"/>
          <w:sz w:val="26"/>
          <w:szCs w:val="26"/>
        </w:rPr>
      </w:pPr>
      <w:bookmarkStart w:colFirst="0" w:colLast="0" w:name="_6io5zifk0jm6" w:id="7"/>
      <w:bookmarkEnd w:id="7"/>
      <w:r w:rsidDel="00000000" w:rsidR="00000000" w:rsidRPr="00000000">
        <w:rPr>
          <w:b w:val="1"/>
          <w:color w:val="45818e"/>
          <w:sz w:val="26"/>
          <w:szCs w:val="26"/>
          <w:rtl w:val="0"/>
        </w:rPr>
        <w:t xml:space="preserve">C2 – Annähernd muttersprachliche Kenntnisse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160" w:lineRule="auto"/>
        <w:ind w:left="160" w:firstLine="0"/>
        <w:contextualSpacing w:val="0"/>
        <w:jc w:val="both"/>
        <w:rPr>
          <w:sz w:val="19"/>
          <w:szCs w:val="19"/>
        </w:rPr>
      </w:pPr>
      <w:r w:rsidDel="00000000" w:rsidR="00000000" w:rsidRPr="00000000">
        <w:rPr>
          <w:sz w:val="19"/>
          <w:szCs w:val="19"/>
          <w:rtl w:val="0"/>
        </w:rPr>
        <w:t xml:space="preserve">Kann praktisch alles, was er/sie liest oder hört, mühelos verstehen. Kann 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default"/>
      <w:footerReference r:id="rId6" w:type="default"/>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color w:val="999999"/>
        <w:sz w:val="18"/>
        <w:szCs w:val="18"/>
      </w:rPr>
    </w:pPr>
    <w:r w:rsidDel="00000000" w:rsidR="00000000" w:rsidRPr="00000000">
      <w:rPr>
        <w:color w:val="999999"/>
        <w:sz w:val="18"/>
        <w:szCs w:val="18"/>
        <w:rtl w:val="0"/>
      </w:rPr>
      <w:t xml:space="preserve">------------------------------------------------------------- Material zum Download --------------------------------------------------------</w:t>
    </w:r>
  </w:p>
  <w:p w:rsidR="00000000" w:rsidDel="00000000" w:rsidP="00000000" w:rsidRDefault="00000000" w:rsidRPr="00000000">
    <w:pPr>
      <w:contextualSpacing w:val="0"/>
      <w:rPr>
        <w:color w:val="999999"/>
        <w:sz w:val="18"/>
        <w:szCs w:val="18"/>
      </w:rPr>
    </w:pPr>
    <w:r w:rsidDel="00000000" w:rsidR="00000000" w:rsidRPr="00000000">
      <w:rPr>
        <w:color w:val="999999"/>
        <w:sz w:val="18"/>
        <w:szCs w:val="18"/>
        <w:rtl w:val="0"/>
      </w:rPr>
      <w:t xml:space="preserve">Erstellt von Tutor Compass</w:t>
    </w:r>
  </w:p>
  <w:p w:rsidR="00000000" w:rsidDel="00000000" w:rsidP="00000000" w:rsidRDefault="00000000" w:rsidRPr="00000000">
    <w:pPr>
      <w:contextualSpacing w:val="0"/>
      <w:rPr>
        <w:color w:val="999999"/>
        <w:sz w:val="18"/>
        <w:szCs w:val="18"/>
      </w:rPr>
    </w:pPr>
    <w:r w:rsidDel="00000000" w:rsidR="00000000" w:rsidRPr="00000000">
      <w:rPr>
        <w:color w:val="999999"/>
        <w:sz w:val="18"/>
        <w:szCs w:val="18"/>
        <w:rtl w:val="0"/>
      </w:rPr>
      <w:t xml:space="preserve">Dieses Material untersteht dem Copyright und Teil des Onlinekurses “</w:t>
    </w:r>
    <w:hyperlink r:id="rId1">
      <w:r w:rsidDel="00000000" w:rsidR="00000000" w:rsidRPr="00000000">
        <w:rPr>
          <w:color w:val="999999"/>
          <w:sz w:val="18"/>
          <w:szCs w:val="18"/>
          <w:u w:val="single"/>
          <w:rtl w:val="0"/>
        </w:rPr>
        <w:t xml:space="preserve">Deutsch als Fremdsprache unterrichten</w:t>
      </w:r>
    </w:hyperlink>
    <w:r w:rsidDel="00000000" w:rsidR="00000000" w:rsidRPr="00000000">
      <w:rPr>
        <w:color w:val="999999"/>
        <w:sz w:val="18"/>
        <w:szCs w:val="18"/>
        <w:rtl w:val="0"/>
      </w:rPr>
      <w:t xml:space="preserve">”. Es ist nicht erlaubt, das Material zu teilen und zu verbreiten.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857500" cy="342900"/>
          <wp:effectExtent b="0" l="0" r="0" t="0"/>
          <wp:docPr descr="Marta_LOGO_300px.png" id="1" name="image2.png"/>
          <a:graphic>
            <a:graphicData uri="http://schemas.openxmlformats.org/drawingml/2006/picture">
              <pic:pic>
                <pic:nvPicPr>
                  <pic:cNvPr descr="Marta_LOGO_300px.png" id="0" name="image2.png"/>
                  <pic:cNvPicPr preferRelativeResize="0"/>
                </pic:nvPicPr>
                <pic:blipFill>
                  <a:blip r:embed="rId1"/>
                  <a:srcRect b="0" l="0" r="0" t="0"/>
                  <a:stretch>
                    <a:fillRect/>
                  </a:stretch>
                </pic:blipFill>
                <pic:spPr>
                  <a:xfrm>
                    <a:off x="0" y="0"/>
                    <a:ext cx="2857500" cy="342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tutorcompass.de/deutsch-als-fremdsprac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